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COLORADO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j5ci1dZDxvUzy8D0IuC3hhTrA==">CgMxLjA4AHIhMUp1clk0ZXZMeko5T1h2S2c0V2VDT1JhYmdXcHhnWGlp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