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CALIFORNIA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D6viNpZa3aoTtNPzN4WIZ261Q==">CgMxLjA4AHIhMUhPR3JtOXhUbkctWjVuM2hBc0ROLXFxcm0tWFVnZEpX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